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cs="仿宋_GB2312" w:asciiTheme="minorEastAsia" w:hAnsiTheme="minorEastAsia"/>
          <w:color w:val="000000"/>
          <w:kern w:val="0"/>
          <w:sz w:val="28"/>
          <w:szCs w:val="28"/>
          <w:lang w:bidi="ar"/>
        </w:rPr>
        <w:t>年度亚洲研究中心项目申报指南</w:t>
      </w:r>
    </w:p>
    <w:p>
      <w:pPr>
        <w:widowControl/>
        <w:jc w:val="both"/>
        <w:rPr>
          <w:rFonts w:hint="default" w:cs="仿宋_GB2312" w:asciiTheme="minorEastAsia" w:hAnsiTheme="minorEastAsia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1.东亚汉文典籍研究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2.中华典籍在东亚的传播与接受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  <w:highlight w:val="none"/>
        </w:rPr>
        <w:t>近代东北亚交通与社会变迁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  <w:highlight w:val="none"/>
        </w:rPr>
        <w:t>近代东北亚海运发展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  <w:highlight w:val="none"/>
        </w:rPr>
        <w:t>朝鲜半岛移民问题研究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  <w:highlight w:val="none"/>
        </w:rPr>
        <w:t>构建亚洲命运共同体研究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Theme="minorEastAsia" w:hAnsiTheme="minorEastAsia"/>
          <w:sz w:val="28"/>
          <w:szCs w:val="28"/>
          <w:highlight w:val="none"/>
        </w:rPr>
        <w:t>东北亚历史、考古与文化研究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8.全人类共同价值的政治哲学阐释；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9.构建人类命运共同体的中国哲学基础研究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Theme="minorEastAsia" w:hAnsiTheme="minorEastAsia"/>
          <w:sz w:val="28"/>
          <w:szCs w:val="28"/>
          <w:highlight w:val="none"/>
        </w:rPr>
        <w:t>日本科技成果转化立法研究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Theme="minorEastAsia" w:hAnsiTheme="minorEastAsia"/>
          <w:sz w:val="28"/>
          <w:szCs w:val="28"/>
          <w:highlight w:val="none"/>
        </w:rPr>
        <w:t>轻罪时代犯罪治理的日本经验研究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12.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“</w:t>
      </w:r>
      <w:r>
        <w:rPr>
          <w:rFonts w:hint="eastAsia" w:asciiTheme="minorEastAsia" w:hAnsiTheme="minorEastAsia"/>
          <w:sz w:val="28"/>
          <w:szCs w:val="28"/>
          <w:highlight w:val="none"/>
        </w:rPr>
        <w:t>一带一路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Theme="minorEastAsia" w:hAnsiTheme="minorEastAsia"/>
          <w:sz w:val="28"/>
          <w:szCs w:val="28"/>
          <w:highlight w:val="none"/>
        </w:rPr>
        <w:t>背景下全球能源治理的中国方案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13.</w:t>
      </w:r>
      <w:r>
        <w:rPr>
          <w:rFonts w:hint="eastAsia" w:asciiTheme="minorEastAsia" w:hAnsiTheme="minorEastAsia"/>
          <w:sz w:val="28"/>
          <w:szCs w:val="28"/>
          <w:highlight w:val="none"/>
        </w:rPr>
        <w:t>东北亚监察制度比较研究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14.东北亚区域数字化转型与发展研究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15.东北亚区域重点产业链稳定性研究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16.东北亚区域创新高地建设路径研究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17.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东北亚区域创新政策与产业结构升级；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18.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东北亚区域国际人才流动与技术溢出；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19.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东北亚区域数字经济协同治理机制研究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20.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面向东北亚对外开放的财政政策支持研究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21.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东北亚经济合作下跨境电子商务税收问题研究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22.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“一带一路”背景下全球贸易治理体系构建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23.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全球贸易治理机制演进中的我国角色变迁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24.</w:t>
      </w:r>
      <w:r>
        <w:rPr>
          <w:rFonts w:hint="eastAsia" w:asciiTheme="minorEastAsia" w:hAnsiTheme="minorEastAsia"/>
          <w:sz w:val="28"/>
          <w:szCs w:val="28"/>
          <w:highlight w:val="none"/>
        </w:rPr>
        <w:t>亚洲“一带一路”建设十年经济成就与前景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25.</w:t>
      </w:r>
      <w:r>
        <w:rPr>
          <w:rFonts w:hint="eastAsia" w:asciiTheme="minorEastAsia" w:hAnsiTheme="minorEastAsia"/>
          <w:sz w:val="28"/>
          <w:szCs w:val="28"/>
          <w:highlight w:val="none"/>
        </w:rPr>
        <w:t>亚洲国家共同维护全球产业链供应链安全稳定的机制与路径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26.</w:t>
      </w:r>
      <w:r>
        <w:rPr>
          <w:rFonts w:hint="eastAsia" w:asciiTheme="minorEastAsia" w:hAnsiTheme="minorEastAsia"/>
          <w:sz w:val="28"/>
          <w:szCs w:val="28"/>
          <w:highlight w:val="none"/>
        </w:rPr>
        <w:t>新形势下中日韩自贸区建立存在的问题与合作前景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27.</w:t>
      </w:r>
      <w:r>
        <w:rPr>
          <w:rFonts w:hint="eastAsia" w:asciiTheme="minorEastAsia" w:hAnsiTheme="minorEastAsia"/>
          <w:sz w:val="28"/>
          <w:szCs w:val="28"/>
          <w:highlight w:val="none"/>
        </w:rPr>
        <w:t>韩日自贸区建立对中日韩合作的影响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28.</w:t>
      </w:r>
      <w:r>
        <w:rPr>
          <w:rFonts w:hint="eastAsia" w:asciiTheme="minorEastAsia" w:hAnsiTheme="minorEastAsia"/>
          <w:sz w:val="28"/>
          <w:szCs w:val="28"/>
          <w:highlight w:val="none"/>
        </w:rPr>
        <w:t>在有中国参加的全球价值链中中日韩合作的形式与作用研究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29.</w:t>
      </w:r>
      <w:r>
        <w:rPr>
          <w:rFonts w:hint="eastAsia" w:asciiTheme="minorEastAsia" w:hAnsiTheme="minorEastAsia"/>
          <w:sz w:val="28"/>
          <w:szCs w:val="28"/>
          <w:highlight w:val="none"/>
        </w:rPr>
        <w:t>辽宁在中日韩合作中的形式，贡献与发展空间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30.</w:t>
      </w:r>
      <w:r>
        <w:rPr>
          <w:rFonts w:hint="eastAsia" w:asciiTheme="minorEastAsia" w:hAnsiTheme="minorEastAsia"/>
          <w:sz w:val="28"/>
          <w:szCs w:val="28"/>
          <w:highlight w:val="none"/>
        </w:rPr>
        <w:t>面向东北亚开放合作的创新型国际化经管人才培养研究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31.</w:t>
      </w:r>
      <w:r>
        <w:rPr>
          <w:rFonts w:hint="eastAsia" w:asciiTheme="minorEastAsia" w:hAnsiTheme="minorEastAsia"/>
          <w:sz w:val="28"/>
          <w:szCs w:val="28"/>
          <w:highlight w:val="none"/>
        </w:rPr>
        <w:t>跨文化传播视域下韩流粉丝的媒介行为研究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32.</w:t>
      </w:r>
      <w:r>
        <w:rPr>
          <w:rFonts w:hint="eastAsia" w:asciiTheme="minorEastAsia" w:hAnsiTheme="minorEastAsia"/>
          <w:sz w:val="28"/>
          <w:szCs w:val="28"/>
          <w:highlight w:val="none"/>
        </w:rPr>
        <w:t>中韩数字媒体平台的传播效能比较研究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33.中华经典作品面向东北亚区域的全媒体传播研究；</w:t>
      </w:r>
    </w:p>
    <w:p>
      <w:pP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34.日韩国家形象宣传片研究</w:t>
      </w:r>
    </w:p>
    <w:p>
      <w:pPr>
        <w:rPr>
          <w:rFonts w:hint="eastAsia"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35.</w:t>
      </w:r>
      <w:r>
        <w:rPr>
          <w:rFonts w:hint="eastAsia" w:asciiTheme="minorEastAsia" w:hAnsiTheme="minorEastAsia"/>
          <w:sz w:val="28"/>
          <w:szCs w:val="28"/>
          <w:highlight w:val="none"/>
        </w:rPr>
        <w:t>东北亚区域社会治理的合作机制与路径研究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36.</w:t>
      </w:r>
      <w:r>
        <w:rPr>
          <w:rFonts w:hint="eastAsia" w:asciiTheme="minorEastAsia" w:hAnsiTheme="minorEastAsia"/>
          <w:sz w:val="28"/>
          <w:szCs w:val="28"/>
          <w:highlight w:val="none"/>
        </w:rPr>
        <w:t>中日韩积极应对人口老龄化政策的比较研究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37.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韩国尹锡悦政府的外交政策研究。</w:t>
      </w: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38.</w:t>
      </w:r>
      <w: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  <w:t>中韩数字出版产业的比较分析</w:t>
      </w:r>
    </w:p>
    <w:p>
      <w:pPr>
        <w:rPr>
          <w:rFonts w:hint="eastAsia" w:asciiTheme="minorEastAsia" w:hAnsiTheme="minorEastAsia"/>
          <w:sz w:val="28"/>
          <w:szCs w:val="28"/>
          <w:highlight w:val="green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Theme="minorEastAsia" w:hAnsiTheme="minorEastAsia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jcyOGJkODQ4NzY0M2E5NDhhOWZmOTI0N2YyYTIifQ=="/>
  </w:docVars>
  <w:rsids>
    <w:rsidRoot w:val="00C12676"/>
    <w:rsid w:val="00024328"/>
    <w:rsid w:val="00030124"/>
    <w:rsid w:val="00095371"/>
    <w:rsid w:val="0018010E"/>
    <w:rsid w:val="0030192F"/>
    <w:rsid w:val="0032694A"/>
    <w:rsid w:val="003947AF"/>
    <w:rsid w:val="003D365F"/>
    <w:rsid w:val="003E1F5C"/>
    <w:rsid w:val="004F4DF0"/>
    <w:rsid w:val="00545E12"/>
    <w:rsid w:val="00567FB4"/>
    <w:rsid w:val="00577996"/>
    <w:rsid w:val="0061492B"/>
    <w:rsid w:val="006D0D12"/>
    <w:rsid w:val="007056B9"/>
    <w:rsid w:val="00706347"/>
    <w:rsid w:val="007721F3"/>
    <w:rsid w:val="009600D9"/>
    <w:rsid w:val="009C718A"/>
    <w:rsid w:val="009E3C8B"/>
    <w:rsid w:val="00C12676"/>
    <w:rsid w:val="00C6735F"/>
    <w:rsid w:val="00E54D16"/>
    <w:rsid w:val="00F30662"/>
    <w:rsid w:val="00FC0E59"/>
    <w:rsid w:val="074D24D9"/>
    <w:rsid w:val="0F380C3B"/>
    <w:rsid w:val="102756F5"/>
    <w:rsid w:val="10B43613"/>
    <w:rsid w:val="113E2825"/>
    <w:rsid w:val="1A515FEE"/>
    <w:rsid w:val="201C7EB1"/>
    <w:rsid w:val="24A53B88"/>
    <w:rsid w:val="288B0C84"/>
    <w:rsid w:val="2C4B5542"/>
    <w:rsid w:val="3C0E0CD9"/>
    <w:rsid w:val="3D99107F"/>
    <w:rsid w:val="3E742ABE"/>
    <w:rsid w:val="400E7693"/>
    <w:rsid w:val="4793342C"/>
    <w:rsid w:val="4822308C"/>
    <w:rsid w:val="4C3A5CF4"/>
    <w:rsid w:val="4E6E18CE"/>
    <w:rsid w:val="52D252EC"/>
    <w:rsid w:val="5725044A"/>
    <w:rsid w:val="59C961F5"/>
    <w:rsid w:val="625A76AD"/>
    <w:rsid w:val="70F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679</Words>
  <Characters>749</Characters>
  <Lines>5</Lines>
  <Paragraphs>1</Paragraphs>
  <TotalTime>0</TotalTime>
  <ScaleCrop>false</ScaleCrop>
  <LinksUpToDate>false</LinksUpToDate>
  <CharactersWithSpaces>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lingling</cp:lastModifiedBy>
  <dcterms:modified xsi:type="dcterms:W3CDTF">2024-03-26T08:05:57Z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8FCBED87AF424FFA937A9CE942DF7EEC_13</vt:lpwstr>
  </property>
</Properties>
</file>